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7A6F34" w:rsidP="003264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70D7E">
        <w:rPr>
          <w:rFonts w:ascii="Arial" w:hAnsi="Arial" w:cs="Arial"/>
          <w:b/>
          <w:sz w:val="20"/>
          <w:szCs w:val="20"/>
        </w:rPr>
        <w:t>Board Resolution</w:t>
      </w:r>
    </w:p>
    <w:p w:rsidR="00467BC0" w:rsidRDefault="007A6F34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12</w:t>
      </w:r>
      <w:r w:rsidR="00467BC0">
        <w:rPr>
          <w:rFonts w:ascii="Arial" w:hAnsi="Arial" w:cs="Arial"/>
          <w:sz w:val="20"/>
          <w:szCs w:val="20"/>
        </w:rPr>
        <w:t xml:space="preserve"> </w:t>
      </w:r>
      <w:r w:rsidR="00050800">
        <w:rPr>
          <w:rFonts w:ascii="Arial" w:hAnsi="Arial" w:cs="Arial"/>
          <w:sz w:val="20"/>
          <w:szCs w:val="20"/>
        </w:rPr>
        <w:t>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6F34">
        <w:rPr>
          <w:rFonts w:ascii="Arial" w:hAnsi="Arial" w:cs="Arial"/>
          <w:sz w:val="20"/>
          <w:szCs w:val="20"/>
        </w:rPr>
        <w:t>Viglacera</w:t>
      </w:r>
      <w:proofErr w:type="spellEnd"/>
      <w:r w:rsidRPr="007A6F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6F34">
        <w:rPr>
          <w:rFonts w:ascii="Arial" w:hAnsi="Arial" w:cs="Arial"/>
          <w:sz w:val="20"/>
          <w:szCs w:val="20"/>
        </w:rPr>
        <w:t>Tien</w:t>
      </w:r>
      <w:proofErr w:type="spellEnd"/>
      <w:r w:rsidRPr="007A6F34">
        <w:rPr>
          <w:rFonts w:ascii="Arial" w:hAnsi="Arial" w:cs="Arial"/>
          <w:sz w:val="20"/>
          <w:szCs w:val="20"/>
        </w:rPr>
        <w:t xml:space="preserve"> Son </w:t>
      </w:r>
      <w:r>
        <w:rPr>
          <w:rFonts w:ascii="Arial" w:hAnsi="Arial" w:cs="Arial"/>
          <w:sz w:val="20"/>
          <w:szCs w:val="20"/>
        </w:rPr>
        <w:t>Joint Stock Company</w:t>
      </w:r>
      <w:r w:rsidR="00222BEE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B70D7E">
        <w:rPr>
          <w:rFonts w:ascii="Arial" w:hAnsi="Arial" w:cs="Arial"/>
          <w:sz w:val="20"/>
          <w:szCs w:val="20"/>
        </w:rPr>
        <w:t>Board Resolution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7A6F34" w:rsidRDefault="007A6F34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A6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7A6F34">
        <w:rPr>
          <w:rFonts w:ascii="Arial" w:hAnsi="Arial" w:cs="Arial"/>
          <w:sz w:val="20"/>
          <w:szCs w:val="20"/>
        </w:rPr>
        <w:t xml:space="preserve"> the norms of productio</w:t>
      </w:r>
      <w:r>
        <w:rPr>
          <w:rFonts w:ascii="Arial" w:hAnsi="Arial" w:cs="Arial"/>
          <w:sz w:val="20"/>
          <w:szCs w:val="20"/>
        </w:rPr>
        <w:t>n and business activities in Q4</w:t>
      </w:r>
      <w:r w:rsidRPr="007A6F34">
        <w:rPr>
          <w:rFonts w:ascii="Arial" w:hAnsi="Arial" w:cs="Arial"/>
          <w:sz w:val="20"/>
          <w:szCs w:val="20"/>
        </w:rPr>
        <w:t xml:space="preserve">/ 2019 and the whole 2019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143"/>
        <w:gridCol w:w="1136"/>
        <w:gridCol w:w="1206"/>
        <w:gridCol w:w="1141"/>
        <w:gridCol w:w="1120"/>
        <w:gridCol w:w="1262"/>
        <w:gridCol w:w="1262"/>
      </w:tblGrid>
      <w:tr w:rsidR="007A6F34" w:rsidTr="00D32D2C">
        <w:tc>
          <w:tcPr>
            <w:tcW w:w="1306" w:type="dxa"/>
          </w:tcPr>
          <w:p w:rsidR="007A6F34" w:rsidRDefault="007A6F34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143" w:type="dxa"/>
          </w:tcPr>
          <w:p w:rsidR="007A6F34" w:rsidRDefault="007A6F34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136" w:type="dxa"/>
          </w:tcPr>
          <w:p w:rsidR="007A6F34" w:rsidRDefault="007A6F34" w:rsidP="007A6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Q.IV</w:t>
            </w:r>
          </w:p>
        </w:tc>
        <w:tc>
          <w:tcPr>
            <w:tcW w:w="1206" w:type="dxa"/>
          </w:tcPr>
          <w:p w:rsidR="007A6F34" w:rsidRDefault="007A6F34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Q.IV</w:t>
            </w:r>
          </w:p>
        </w:tc>
        <w:tc>
          <w:tcPr>
            <w:tcW w:w="1141" w:type="dxa"/>
          </w:tcPr>
          <w:p w:rsidR="007A6F34" w:rsidRDefault="007A6F34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year 2019</w:t>
            </w:r>
          </w:p>
        </w:tc>
        <w:tc>
          <w:tcPr>
            <w:tcW w:w="1120" w:type="dxa"/>
          </w:tcPr>
          <w:p w:rsidR="007A6F34" w:rsidRDefault="007A6F34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year 2020</w:t>
            </w:r>
          </w:p>
        </w:tc>
        <w:tc>
          <w:tcPr>
            <w:tcW w:w="1262" w:type="dxa"/>
          </w:tcPr>
          <w:p w:rsidR="007A6F34" w:rsidRDefault="007A6F34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 Q.IV</w:t>
            </w:r>
          </w:p>
        </w:tc>
        <w:tc>
          <w:tcPr>
            <w:tcW w:w="1262" w:type="dxa"/>
          </w:tcPr>
          <w:p w:rsidR="007A6F34" w:rsidRDefault="007A6F34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 2019</w:t>
            </w:r>
          </w:p>
        </w:tc>
      </w:tr>
      <w:tr w:rsidR="007A6F34" w:rsidTr="00D32D2C">
        <w:tc>
          <w:tcPr>
            <w:tcW w:w="1306" w:type="dxa"/>
          </w:tcPr>
          <w:p w:rsidR="007A6F34" w:rsidRDefault="007A6F34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production and business</w:t>
            </w:r>
          </w:p>
        </w:tc>
        <w:tc>
          <w:tcPr>
            <w:tcW w:w="1143" w:type="dxa"/>
          </w:tcPr>
          <w:p w:rsidR="007A6F34" w:rsidRDefault="007A6F34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136" w:type="dxa"/>
          </w:tcPr>
          <w:p w:rsidR="007A6F34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382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06" w:type="dxa"/>
          </w:tcPr>
          <w:p w:rsidR="007A6F34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387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141" w:type="dxa"/>
          </w:tcPr>
          <w:p w:rsidR="007A6F34" w:rsidRDefault="00377A7A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1,375,424</w:t>
            </w:r>
          </w:p>
        </w:tc>
        <w:tc>
          <w:tcPr>
            <w:tcW w:w="1120" w:type="dxa"/>
          </w:tcPr>
          <w:p w:rsidR="007A6F34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407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262" w:type="dxa"/>
          </w:tcPr>
          <w:p w:rsidR="007A6F34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101</w:t>
            </w:r>
            <w:r w:rsidR="00377A7A"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36</w:t>
            </w:r>
            <w:r w:rsidR="00377A7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2" w:type="dxa"/>
          </w:tcPr>
          <w:p w:rsidR="007A6F34" w:rsidRDefault="00377A7A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102.30%</w:t>
            </w:r>
          </w:p>
        </w:tc>
      </w:tr>
      <w:tr w:rsidR="00D32D2C" w:rsidTr="00D32D2C">
        <w:tc>
          <w:tcPr>
            <w:tcW w:w="13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143" w:type="dxa"/>
          </w:tcPr>
          <w:p w:rsidR="00D32D2C" w:rsidRDefault="00D32D2C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13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423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12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463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41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485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120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473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109</w:t>
            </w:r>
            <w:r w:rsidR="00377A7A"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28</w:t>
            </w:r>
            <w:r w:rsidR="00377A7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7A7A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D32D2C" w:rsidTr="00D32D2C">
        <w:tc>
          <w:tcPr>
            <w:tcW w:w="13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143" w:type="dxa"/>
          </w:tcPr>
          <w:p w:rsidR="00D32D2C" w:rsidRDefault="00D32D2C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13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2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1141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77A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377A7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6F3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53%</w:t>
            </w:r>
          </w:p>
        </w:tc>
      </w:tr>
      <w:tr w:rsidR="00D32D2C" w:rsidTr="00D32D2C">
        <w:tc>
          <w:tcPr>
            <w:tcW w:w="13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asset depreciation</w:t>
            </w:r>
          </w:p>
        </w:tc>
        <w:tc>
          <w:tcPr>
            <w:tcW w:w="1143" w:type="dxa"/>
          </w:tcPr>
          <w:p w:rsidR="00D32D2C" w:rsidRDefault="00D32D2C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13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12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141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120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6F34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262" w:type="dxa"/>
          </w:tcPr>
          <w:p w:rsidR="00D32D2C" w:rsidRDefault="00377A7A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32D2C" w:rsidRPr="007A6F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32D2C" w:rsidRPr="007A6F34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7A7A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</w:tr>
      <w:tr w:rsidR="00D32D2C" w:rsidTr="00D32D2C">
        <w:tc>
          <w:tcPr>
            <w:tcW w:w="13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143" w:type="dxa"/>
          </w:tcPr>
          <w:p w:rsidR="00D32D2C" w:rsidRDefault="00D32D2C" w:rsidP="00BC0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dongs/ person/ month </w:t>
            </w:r>
          </w:p>
        </w:tc>
        <w:tc>
          <w:tcPr>
            <w:tcW w:w="113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377A7A" w:rsidRDefault="00377A7A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7A7A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262" w:type="dxa"/>
          </w:tcPr>
          <w:p w:rsidR="00D32D2C" w:rsidRDefault="00D32D2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F34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6F34">
              <w:rPr>
                <w:rFonts w:ascii="Arial" w:hAnsi="Arial" w:cs="Arial"/>
                <w:sz w:val="20"/>
                <w:szCs w:val="20"/>
              </w:rPr>
              <w:t>20</w:t>
            </w:r>
            <w:r w:rsidR="00377A7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77A7A" w:rsidRDefault="00377A7A" w:rsidP="00326490">
      <w:pPr>
        <w:jc w:val="both"/>
        <w:rPr>
          <w:rFonts w:ascii="Arial" w:hAnsi="Arial" w:cs="Arial"/>
          <w:sz w:val="20"/>
          <w:szCs w:val="20"/>
        </w:rPr>
      </w:pPr>
    </w:p>
    <w:p w:rsidR="00377A7A" w:rsidRDefault="007A6F34" w:rsidP="00326490">
      <w:pPr>
        <w:jc w:val="both"/>
        <w:rPr>
          <w:rFonts w:ascii="Arial" w:hAnsi="Arial" w:cs="Arial"/>
          <w:sz w:val="20"/>
          <w:szCs w:val="20"/>
        </w:rPr>
      </w:pPr>
      <w:r w:rsidRPr="007A6F34">
        <w:rPr>
          <w:rFonts w:ascii="Arial" w:hAnsi="Arial" w:cs="Arial"/>
          <w:sz w:val="20"/>
          <w:szCs w:val="20"/>
        </w:rPr>
        <w:t>Review the resul</w:t>
      </w:r>
      <w:r w:rsidR="00377A7A">
        <w:rPr>
          <w:rFonts w:ascii="Arial" w:hAnsi="Arial" w:cs="Arial"/>
          <w:sz w:val="20"/>
          <w:szCs w:val="20"/>
        </w:rPr>
        <w:t>ts of the fourth quarter of 2019</w:t>
      </w:r>
      <w:r w:rsidRPr="007A6F34">
        <w:rPr>
          <w:rFonts w:ascii="Arial" w:hAnsi="Arial" w:cs="Arial"/>
          <w:sz w:val="20"/>
          <w:szCs w:val="20"/>
        </w:rPr>
        <w:t xml:space="preserve"> and 2019: </w:t>
      </w:r>
    </w:p>
    <w:p w:rsidR="00377A7A" w:rsidRDefault="007A6F34" w:rsidP="00326490">
      <w:pPr>
        <w:jc w:val="both"/>
        <w:rPr>
          <w:rFonts w:ascii="Arial" w:hAnsi="Arial" w:cs="Arial"/>
          <w:sz w:val="20"/>
          <w:szCs w:val="20"/>
        </w:rPr>
      </w:pPr>
      <w:r w:rsidRPr="007A6F34">
        <w:rPr>
          <w:rFonts w:ascii="Arial" w:hAnsi="Arial" w:cs="Arial"/>
          <w:sz w:val="20"/>
          <w:szCs w:val="20"/>
        </w:rPr>
        <w:t xml:space="preserve">1. 1. In terms of business: </w:t>
      </w:r>
    </w:p>
    <w:p w:rsidR="00377A7A" w:rsidRDefault="00377A7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Net sales of granite in the fourth</w:t>
      </w:r>
      <w:r w:rsidR="007A6F34" w:rsidRPr="007A6F34">
        <w:rPr>
          <w:rFonts w:ascii="Arial" w:hAnsi="Arial" w:cs="Arial"/>
          <w:sz w:val="20"/>
          <w:szCs w:val="20"/>
        </w:rPr>
        <w:t xml:space="preserve"> quarter o</w:t>
      </w:r>
      <w:r>
        <w:rPr>
          <w:rFonts w:ascii="Arial" w:hAnsi="Arial" w:cs="Arial"/>
          <w:sz w:val="20"/>
          <w:szCs w:val="20"/>
        </w:rPr>
        <w:t>f 2019</w:t>
      </w:r>
      <w:r w:rsidR="007A6F34" w:rsidRPr="007A6F34">
        <w:rPr>
          <w:rFonts w:ascii="Arial" w:hAnsi="Arial" w:cs="Arial"/>
          <w:sz w:val="20"/>
          <w:szCs w:val="20"/>
        </w:rPr>
        <w:t xml:space="preserve"> rea</w:t>
      </w:r>
      <w:r>
        <w:rPr>
          <w:rFonts w:ascii="Arial" w:hAnsi="Arial" w:cs="Arial"/>
          <w:sz w:val="20"/>
          <w:szCs w:val="20"/>
        </w:rPr>
        <w:t>ched 463 billion, equal to 109.</w:t>
      </w:r>
      <w:r w:rsidR="007A6F34" w:rsidRPr="007A6F34">
        <w:rPr>
          <w:rFonts w:ascii="Arial" w:hAnsi="Arial" w:cs="Arial"/>
          <w:sz w:val="20"/>
          <w:szCs w:val="20"/>
        </w:rPr>
        <w:t xml:space="preserve">28% of the plan, </w:t>
      </w:r>
      <w:r>
        <w:rPr>
          <w:rFonts w:ascii="Arial" w:hAnsi="Arial" w:cs="Arial"/>
          <w:sz w:val="20"/>
          <w:szCs w:val="20"/>
        </w:rPr>
        <w:t>net revenue of 2019 reached VND 1,473 billion, equal to 99.</w:t>
      </w:r>
      <w:r w:rsidR="007A6F34" w:rsidRPr="007A6F34">
        <w:rPr>
          <w:rFonts w:ascii="Arial" w:hAnsi="Arial" w:cs="Arial"/>
          <w:sz w:val="20"/>
          <w:szCs w:val="20"/>
        </w:rPr>
        <w:t>17% of the plan</w:t>
      </w:r>
    </w:p>
    <w:p w:rsidR="00377A7A" w:rsidRDefault="00377A7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="007A6F34" w:rsidRPr="007A6F34">
        <w:rPr>
          <w:rFonts w:ascii="Arial" w:hAnsi="Arial" w:cs="Arial"/>
          <w:sz w:val="20"/>
          <w:szCs w:val="20"/>
        </w:rPr>
        <w:t xml:space="preserve"> export sales</w:t>
      </w:r>
      <w:r>
        <w:rPr>
          <w:rFonts w:ascii="Arial" w:hAnsi="Arial" w:cs="Arial"/>
          <w:sz w:val="20"/>
          <w:szCs w:val="20"/>
        </w:rPr>
        <w:t xml:space="preserve"> in</w:t>
      </w:r>
      <w:r w:rsidR="007A6F34" w:rsidRPr="007A6F34">
        <w:rPr>
          <w:rFonts w:ascii="Arial" w:hAnsi="Arial" w:cs="Arial"/>
          <w:sz w:val="20"/>
          <w:szCs w:val="20"/>
        </w:rPr>
        <w:t xml:space="preserve"> quarter</w:t>
      </w:r>
      <w:r>
        <w:rPr>
          <w:rFonts w:ascii="Arial" w:hAnsi="Arial" w:cs="Arial"/>
          <w:sz w:val="20"/>
          <w:szCs w:val="20"/>
        </w:rPr>
        <w:t xml:space="preserve"> IV of 2019 reached USD 1.53 million; the whole</w:t>
      </w:r>
      <w:r w:rsidR="007A6F34" w:rsidRPr="007A6F34">
        <w:rPr>
          <w:rFonts w:ascii="Arial" w:hAnsi="Arial" w:cs="Arial"/>
          <w:sz w:val="20"/>
          <w:szCs w:val="20"/>
        </w:rPr>
        <w:t xml:space="preserve"> 2019 reached </w:t>
      </w:r>
      <w:r>
        <w:rPr>
          <w:rFonts w:ascii="Arial" w:hAnsi="Arial" w:cs="Arial"/>
          <w:sz w:val="20"/>
          <w:szCs w:val="20"/>
        </w:rPr>
        <w:t>USD 7 million</w:t>
      </w:r>
    </w:p>
    <w:p w:rsidR="00701850" w:rsidRDefault="007A6F34" w:rsidP="00326490">
      <w:pPr>
        <w:jc w:val="both"/>
        <w:rPr>
          <w:rFonts w:ascii="Arial" w:hAnsi="Arial" w:cs="Arial"/>
          <w:sz w:val="20"/>
          <w:szCs w:val="20"/>
        </w:rPr>
      </w:pPr>
      <w:r w:rsidRPr="007A6F34">
        <w:rPr>
          <w:rFonts w:ascii="Arial" w:hAnsi="Arial" w:cs="Arial"/>
          <w:sz w:val="20"/>
          <w:szCs w:val="20"/>
        </w:rPr>
        <w:t xml:space="preserve">- Continue to sign contracts with customers from </w:t>
      </w:r>
      <w:r w:rsidR="00F23A26">
        <w:rPr>
          <w:rFonts w:ascii="Arial" w:hAnsi="Arial" w:cs="Arial"/>
          <w:sz w:val="20"/>
          <w:szCs w:val="20"/>
        </w:rPr>
        <w:t xml:space="preserve">the </w:t>
      </w:r>
      <w:r w:rsidRPr="007A6F34">
        <w:rPr>
          <w:rFonts w:ascii="Arial" w:hAnsi="Arial" w:cs="Arial"/>
          <w:sz w:val="20"/>
          <w:szCs w:val="20"/>
        </w:rPr>
        <w:t xml:space="preserve">Philippines through </w:t>
      </w:r>
      <w:proofErr w:type="spellStart"/>
      <w:r w:rsidRPr="007A6F34">
        <w:rPr>
          <w:rFonts w:ascii="Arial" w:hAnsi="Arial" w:cs="Arial"/>
          <w:sz w:val="20"/>
          <w:szCs w:val="20"/>
        </w:rPr>
        <w:t>Viglac</w:t>
      </w:r>
      <w:r w:rsidR="00701850">
        <w:rPr>
          <w:rFonts w:ascii="Arial" w:hAnsi="Arial" w:cs="Arial"/>
          <w:sz w:val="20"/>
          <w:szCs w:val="20"/>
        </w:rPr>
        <w:t>era</w:t>
      </w:r>
      <w:proofErr w:type="spellEnd"/>
      <w:r w:rsidR="00701850">
        <w:rPr>
          <w:rFonts w:ascii="Arial" w:hAnsi="Arial" w:cs="Arial"/>
          <w:sz w:val="20"/>
          <w:szCs w:val="20"/>
        </w:rPr>
        <w:t xml:space="preserve"> Trading Joint Stock Company</w:t>
      </w:r>
    </w:p>
    <w:p w:rsidR="00F23A26" w:rsidRDefault="00701850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7A6F34" w:rsidRPr="007A6F34">
        <w:rPr>
          <w:rFonts w:ascii="Arial" w:hAnsi="Arial" w:cs="Arial"/>
          <w:sz w:val="20"/>
          <w:szCs w:val="20"/>
        </w:rPr>
        <w:t>n collaborat</w:t>
      </w:r>
      <w:r>
        <w:rPr>
          <w:rFonts w:ascii="Arial" w:hAnsi="Arial" w:cs="Arial"/>
          <w:sz w:val="20"/>
          <w:szCs w:val="20"/>
        </w:rPr>
        <w:t xml:space="preserve">ion with </w:t>
      </w:r>
      <w:proofErr w:type="spellStart"/>
      <w:r>
        <w:rPr>
          <w:rFonts w:ascii="Arial" w:hAnsi="Arial" w:cs="Arial"/>
          <w:sz w:val="20"/>
          <w:szCs w:val="20"/>
        </w:rPr>
        <w:t>Viglacera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23A26">
        <w:rPr>
          <w:rFonts w:ascii="Arial" w:hAnsi="Arial" w:cs="Arial"/>
          <w:sz w:val="20"/>
          <w:szCs w:val="20"/>
        </w:rPr>
        <w:t xml:space="preserve">Ceramic Tiles </w:t>
      </w:r>
      <w:r>
        <w:rPr>
          <w:rFonts w:ascii="Arial" w:hAnsi="Arial" w:cs="Arial"/>
          <w:sz w:val="20"/>
          <w:szCs w:val="20"/>
        </w:rPr>
        <w:t>Trading</w:t>
      </w:r>
      <w:r w:rsidR="007A6F34" w:rsidRPr="007A6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Joint Stock Company to find</w:t>
      </w:r>
      <w:r w:rsidR="007A6F34" w:rsidRPr="007A6F34">
        <w:rPr>
          <w:rFonts w:ascii="Arial" w:hAnsi="Arial" w:cs="Arial"/>
          <w:sz w:val="20"/>
          <w:szCs w:val="20"/>
        </w:rPr>
        <w:t xml:space="preserve"> the right places in the North</w:t>
      </w:r>
      <w:r w:rsidR="00F23A26">
        <w:rPr>
          <w:rFonts w:ascii="Arial" w:hAnsi="Arial" w:cs="Arial"/>
          <w:sz w:val="20"/>
          <w:szCs w:val="20"/>
        </w:rPr>
        <w:t>ern, Central regions to open</w:t>
      </w:r>
      <w:r w:rsidR="007A6F34" w:rsidRPr="007A6F34">
        <w:rPr>
          <w:rFonts w:ascii="Arial" w:hAnsi="Arial" w:cs="Arial"/>
          <w:sz w:val="20"/>
          <w:szCs w:val="20"/>
        </w:rPr>
        <w:t xml:space="preserve"> </w:t>
      </w:r>
      <w:r w:rsidR="00F23A26">
        <w:rPr>
          <w:rFonts w:ascii="Arial" w:hAnsi="Arial" w:cs="Arial"/>
          <w:sz w:val="20"/>
          <w:szCs w:val="20"/>
        </w:rPr>
        <w:t>product showr</w:t>
      </w:r>
      <w:r w:rsidR="007A6F34" w:rsidRPr="007A6F34">
        <w:rPr>
          <w:rFonts w:ascii="Arial" w:hAnsi="Arial" w:cs="Arial"/>
          <w:sz w:val="20"/>
          <w:szCs w:val="20"/>
        </w:rPr>
        <w:t>ooms</w:t>
      </w:r>
      <w:r w:rsidR="00F23A26">
        <w:rPr>
          <w:rFonts w:ascii="Arial" w:hAnsi="Arial" w:cs="Arial"/>
          <w:sz w:val="20"/>
          <w:szCs w:val="20"/>
        </w:rPr>
        <w:t xml:space="preserve">. The showrooms </w:t>
      </w:r>
      <w:r w:rsidR="00F23A26" w:rsidRPr="00F23A26">
        <w:rPr>
          <w:rFonts w:ascii="Arial" w:hAnsi="Arial" w:cs="Arial"/>
          <w:sz w:val="20"/>
          <w:szCs w:val="20"/>
        </w:rPr>
        <w:t xml:space="preserve">have been put into operation: </w:t>
      </w:r>
    </w:p>
    <w:p w:rsidR="00F23A26" w:rsidRDefault="00F23A26" w:rsidP="00326490">
      <w:pPr>
        <w:jc w:val="both"/>
        <w:rPr>
          <w:rFonts w:ascii="Arial" w:hAnsi="Arial" w:cs="Arial"/>
          <w:sz w:val="20"/>
          <w:szCs w:val="20"/>
        </w:rPr>
      </w:pPr>
      <w:r w:rsidRPr="00F23A26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F23A26">
        <w:rPr>
          <w:rFonts w:ascii="Arial" w:hAnsi="Arial" w:cs="Arial"/>
          <w:sz w:val="20"/>
          <w:szCs w:val="20"/>
        </w:rPr>
        <w:t>EuroTi</w:t>
      </w:r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showroom at 433 Cong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, Ward 15, Tan </w:t>
      </w:r>
      <w:proofErr w:type="spellStart"/>
      <w:r>
        <w:rPr>
          <w:rFonts w:ascii="Arial" w:hAnsi="Arial" w:cs="Arial"/>
          <w:sz w:val="20"/>
          <w:szCs w:val="20"/>
        </w:rPr>
        <w:t>Bi</w:t>
      </w:r>
      <w:r w:rsidRPr="00F23A26">
        <w:rPr>
          <w:rFonts w:ascii="Arial" w:hAnsi="Arial" w:cs="Arial"/>
          <w:sz w:val="20"/>
          <w:szCs w:val="20"/>
        </w:rPr>
        <w:t>nh</w:t>
      </w:r>
      <w:proofErr w:type="spellEnd"/>
      <w:r w:rsidRPr="00F23A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Ho Chi Minh City</w:t>
      </w:r>
    </w:p>
    <w:p w:rsidR="00F23A26" w:rsidRDefault="00F23A26" w:rsidP="00326490">
      <w:pPr>
        <w:jc w:val="both"/>
        <w:rPr>
          <w:rFonts w:ascii="Arial" w:hAnsi="Arial" w:cs="Arial"/>
          <w:sz w:val="20"/>
          <w:szCs w:val="20"/>
        </w:rPr>
      </w:pPr>
      <w:r w:rsidRPr="00F23A26">
        <w:rPr>
          <w:rFonts w:ascii="Arial" w:hAnsi="Arial" w:cs="Arial"/>
          <w:sz w:val="20"/>
          <w:szCs w:val="20"/>
        </w:rPr>
        <w:t>• Vo Chi Cong Showroom at M4,</w:t>
      </w:r>
      <w:r>
        <w:rPr>
          <w:rFonts w:ascii="Arial" w:hAnsi="Arial" w:cs="Arial"/>
          <w:sz w:val="20"/>
          <w:szCs w:val="20"/>
        </w:rPr>
        <w:t xml:space="preserve"> M5 </w:t>
      </w:r>
      <w:proofErr w:type="gramStart"/>
      <w:r>
        <w:rPr>
          <w:rFonts w:ascii="Arial" w:hAnsi="Arial" w:cs="Arial"/>
          <w:sz w:val="20"/>
          <w:szCs w:val="20"/>
        </w:rPr>
        <w:t>Vo</w:t>
      </w:r>
      <w:proofErr w:type="gramEnd"/>
      <w:r>
        <w:rPr>
          <w:rFonts w:ascii="Arial" w:hAnsi="Arial" w:cs="Arial"/>
          <w:sz w:val="20"/>
          <w:szCs w:val="20"/>
        </w:rPr>
        <w:t xml:space="preserve"> Chi Cong,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Ho,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F23A26">
        <w:rPr>
          <w:rFonts w:ascii="Arial" w:hAnsi="Arial" w:cs="Arial"/>
          <w:sz w:val="20"/>
          <w:szCs w:val="20"/>
        </w:rPr>
        <w:t xml:space="preserve"> </w:t>
      </w:r>
    </w:p>
    <w:p w:rsidR="00F23A26" w:rsidRDefault="00F23A26" w:rsidP="00326490">
      <w:pPr>
        <w:jc w:val="both"/>
        <w:rPr>
          <w:rFonts w:ascii="Arial" w:hAnsi="Arial" w:cs="Arial"/>
          <w:sz w:val="20"/>
          <w:szCs w:val="20"/>
        </w:rPr>
      </w:pPr>
      <w:r w:rsidRPr="00F23A26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F23A26">
        <w:rPr>
          <w:rFonts w:ascii="Arial" w:hAnsi="Arial" w:cs="Arial"/>
          <w:sz w:val="20"/>
          <w:szCs w:val="20"/>
        </w:rPr>
        <w:t>Danang</w:t>
      </w:r>
      <w:proofErr w:type="spellEnd"/>
      <w:r w:rsidRPr="00F23A26">
        <w:rPr>
          <w:rFonts w:ascii="Arial" w:hAnsi="Arial" w:cs="Arial"/>
          <w:sz w:val="20"/>
          <w:szCs w:val="20"/>
        </w:rPr>
        <w:t xml:space="preserve"> Showroom at 297 Nguy</w:t>
      </w:r>
      <w:r>
        <w:rPr>
          <w:rFonts w:ascii="Arial" w:hAnsi="Arial" w:cs="Arial"/>
          <w:sz w:val="20"/>
          <w:szCs w:val="20"/>
        </w:rPr>
        <w:t xml:space="preserve">en Van </w:t>
      </w:r>
      <w:proofErr w:type="spellStart"/>
      <w:r>
        <w:rPr>
          <w:rFonts w:ascii="Arial" w:hAnsi="Arial" w:cs="Arial"/>
          <w:sz w:val="20"/>
          <w:szCs w:val="20"/>
        </w:rPr>
        <w:t>Linh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Khe</w:t>
      </w:r>
      <w:proofErr w:type="spellEnd"/>
      <w:r>
        <w:rPr>
          <w:rFonts w:ascii="Arial" w:hAnsi="Arial" w:cs="Arial"/>
          <w:sz w:val="20"/>
          <w:szCs w:val="20"/>
        </w:rPr>
        <w:t>, Da Nang</w:t>
      </w:r>
    </w:p>
    <w:p w:rsidR="00F23A26" w:rsidRDefault="00F23A26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Pr="00F23A26">
        <w:rPr>
          <w:rFonts w:ascii="Arial" w:hAnsi="Arial" w:cs="Arial"/>
          <w:sz w:val="20"/>
          <w:szCs w:val="20"/>
        </w:rPr>
        <w:t>Regarding Finance:</w:t>
      </w:r>
    </w:p>
    <w:p w:rsidR="001A6398" w:rsidRDefault="00F23A26" w:rsidP="00326490">
      <w:pPr>
        <w:jc w:val="both"/>
        <w:rPr>
          <w:rFonts w:ascii="Arial" w:hAnsi="Arial" w:cs="Arial"/>
          <w:sz w:val="20"/>
          <w:szCs w:val="20"/>
        </w:rPr>
      </w:pPr>
      <w:r w:rsidRPr="00F23A26">
        <w:rPr>
          <w:rFonts w:ascii="Arial" w:hAnsi="Arial" w:cs="Arial"/>
          <w:sz w:val="20"/>
          <w:szCs w:val="20"/>
        </w:rPr>
        <w:t>- Profit before tax</w:t>
      </w:r>
      <w:r>
        <w:rPr>
          <w:rFonts w:ascii="Arial" w:hAnsi="Arial" w:cs="Arial"/>
          <w:sz w:val="20"/>
          <w:szCs w:val="20"/>
        </w:rPr>
        <w:t>: Q.IV reached</w:t>
      </w:r>
      <w:r w:rsidRPr="00F23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Pr="00F23A26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.97 billion, equivalent to</w:t>
      </w:r>
      <w:r w:rsidRPr="00F23A26">
        <w:rPr>
          <w:rFonts w:ascii="Arial" w:hAnsi="Arial" w:cs="Arial"/>
          <w:sz w:val="20"/>
          <w:szCs w:val="20"/>
        </w:rPr>
        <w:t xml:space="preserve"> 92</w:t>
      </w:r>
      <w:r>
        <w:rPr>
          <w:rFonts w:ascii="Arial" w:hAnsi="Arial" w:cs="Arial"/>
          <w:sz w:val="20"/>
          <w:szCs w:val="20"/>
        </w:rPr>
        <w:t xml:space="preserve">.88% of the plan. </w:t>
      </w:r>
      <w:r w:rsidRPr="00F23A26">
        <w:rPr>
          <w:rFonts w:ascii="Arial" w:hAnsi="Arial" w:cs="Arial"/>
          <w:sz w:val="20"/>
          <w:szCs w:val="20"/>
        </w:rPr>
        <w:t>Profit</w:t>
      </w:r>
      <w:r>
        <w:rPr>
          <w:rFonts w:ascii="Arial" w:hAnsi="Arial" w:cs="Arial"/>
          <w:sz w:val="20"/>
          <w:szCs w:val="20"/>
        </w:rPr>
        <w:t xml:space="preserve"> before tax in 2019 reached VND 88.</w:t>
      </w:r>
      <w:r w:rsidRPr="00F23A26">
        <w:rPr>
          <w:rFonts w:ascii="Arial" w:hAnsi="Arial" w:cs="Arial"/>
          <w:sz w:val="20"/>
          <w:szCs w:val="20"/>
        </w:rPr>
        <w:t>43 billion</w:t>
      </w:r>
      <w:r>
        <w:rPr>
          <w:rFonts w:ascii="Arial" w:hAnsi="Arial" w:cs="Arial"/>
          <w:sz w:val="20"/>
          <w:szCs w:val="20"/>
        </w:rPr>
        <w:t>, equivalent to 110.</w:t>
      </w:r>
      <w:r w:rsidR="001A6398">
        <w:rPr>
          <w:rFonts w:ascii="Arial" w:hAnsi="Arial" w:cs="Arial"/>
          <w:sz w:val="20"/>
          <w:szCs w:val="20"/>
        </w:rPr>
        <w:t>53% of the plan</w:t>
      </w:r>
    </w:p>
    <w:p w:rsidR="001A6398" w:rsidRDefault="00F23A26" w:rsidP="00326490">
      <w:pPr>
        <w:jc w:val="both"/>
        <w:rPr>
          <w:rFonts w:ascii="Arial" w:hAnsi="Arial" w:cs="Arial"/>
          <w:sz w:val="20"/>
          <w:szCs w:val="20"/>
        </w:rPr>
      </w:pPr>
      <w:r w:rsidRPr="00F23A26">
        <w:rPr>
          <w:rFonts w:ascii="Arial" w:hAnsi="Arial" w:cs="Arial"/>
          <w:sz w:val="20"/>
          <w:szCs w:val="20"/>
        </w:rPr>
        <w:t>-</w:t>
      </w:r>
      <w:r w:rsidR="001A6398">
        <w:rPr>
          <w:rFonts w:ascii="Arial" w:hAnsi="Arial" w:cs="Arial"/>
          <w:sz w:val="20"/>
          <w:szCs w:val="20"/>
        </w:rPr>
        <w:t xml:space="preserve"> Fixed asset depreciation</w:t>
      </w:r>
      <w:r w:rsidRPr="00F23A26">
        <w:rPr>
          <w:rFonts w:ascii="Arial" w:hAnsi="Arial" w:cs="Arial"/>
          <w:sz w:val="20"/>
          <w:szCs w:val="20"/>
        </w:rPr>
        <w:t>: in the four</w:t>
      </w:r>
      <w:r w:rsidR="001A6398">
        <w:rPr>
          <w:rFonts w:ascii="Arial" w:hAnsi="Arial" w:cs="Arial"/>
          <w:sz w:val="20"/>
          <w:szCs w:val="20"/>
        </w:rPr>
        <w:t>th quarter, depreciation is deducted:</w:t>
      </w:r>
      <w:r w:rsidRPr="00F23A26">
        <w:rPr>
          <w:rFonts w:ascii="Arial" w:hAnsi="Arial" w:cs="Arial"/>
          <w:sz w:val="20"/>
          <w:szCs w:val="20"/>
        </w:rPr>
        <w:t xml:space="preserve"> VND 18.9 billi</w:t>
      </w:r>
      <w:r w:rsidR="001A6398">
        <w:rPr>
          <w:rFonts w:ascii="Arial" w:hAnsi="Arial" w:cs="Arial"/>
          <w:sz w:val="20"/>
          <w:szCs w:val="20"/>
        </w:rPr>
        <w:t>on, equaling 111.</w:t>
      </w:r>
      <w:r w:rsidRPr="00F23A26">
        <w:rPr>
          <w:rFonts w:ascii="Arial" w:hAnsi="Arial" w:cs="Arial"/>
          <w:sz w:val="20"/>
          <w:szCs w:val="20"/>
        </w:rPr>
        <w:t xml:space="preserve"> 73% of the plan, the</w:t>
      </w:r>
      <w:r w:rsidR="001A6398">
        <w:rPr>
          <w:rFonts w:ascii="Arial" w:hAnsi="Arial" w:cs="Arial"/>
          <w:sz w:val="20"/>
          <w:szCs w:val="20"/>
        </w:rPr>
        <w:t xml:space="preserve"> whole year 2019 depreciation: VND 72.9 billion</w:t>
      </w:r>
    </w:p>
    <w:p w:rsidR="001A6398" w:rsidRDefault="001A639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P</w:t>
      </w:r>
      <w:r w:rsidR="00F23A26" w:rsidRPr="00F23A26">
        <w:rPr>
          <w:rFonts w:ascii="Arial" w:hAnsi="Arial" w:cs="Arial"/>
          <w:sz w:val="20"/>
          <w:szCs w:val="20"/>
        </w:rPr>
        <w:t xml:space="preserve">roduction and business tasks in the first quarter of 2020: </w:t>
      </w:r>
    </w:p>
    <w:p w:rsidR="007A6F34" w:rsidRDefault="001A6398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 assigned</w:t>
      </w:r>
      <w:r w:rsidR="00F23A26" w:rsidRPr="00F23A26">
        <w:rPr>
          <w:rFonts w:ascii="Arial" w:hAnsi="Arial" w:cs="Arial"/>
          <w:sz w:val="20"/>
          <w:szCs w:val="20"/>
        </w:rPr>
        <w:t xml:space="preserve"> the Executive Board the business and production plan for the first quarter of 2020 and the whole year 2020 with</w:t>
      </w:r>
      <w:r>
        <w:rPr>
          <w:rFonts w:ascii="Arial" w:hAnsi="Arial" w:cs="Arial"/>
          <w:sz w:val="20"/>
          <w:szCs w:val="20"/>
        </w:rPr>
        <w:t xml:space="preserve"> the following main indicators: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A6398" w:rsidTr="00C55322">
        <w:tc>
          <w:tcPr>
            <w:tcW w:w="1368" w:type="dxa"/>
            <w:vMerge w:val="restart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368" w:type="dxa"/>
            <w:vMerge w:val="restart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368" w:type="dxa"/>
            <w:vMerge w:val="restart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5472" w:type="dxa"/>
            <w:gridSpan w:val="4"/>
          </w:tcPr>
          <w:p w:rsidR="001A6398" w:rsidRDefault="001A6398" w:rsidP="001A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Q.I/ 2020</w:t>
            </w:r>
          </w:p>
        </w:tc>
      </w:tr>
      <w:tr w:rsidR="001A6398" w:rsidTr="001A6398">
        <w:tc>
          <w:tcPr>
            <w:tcW w:w="1368" w:type="dxa"/>
            <w:vMerge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1A6398" w:rsidTr="001A6398"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production and business</w:t>
            </w:r>
          </w:p>
        </w:tc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1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468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69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75</w:t>
            </w:r>
            <w:r w:rsidR="00D3071C">
              <w:rPr>
                <w:rFonts w:ascii="Arial" w:hAnsi="Arial" w:cs="Arial"/>
                <w:sz w:val="20"/>
                <w:szCs w:val="20"/>
              </w:rPr>
              <w:t>,311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127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272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  <w:tr w:rsidR="001A6398" w:rsidTr="001A6398"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1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494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68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74</w:t>
            </w:r>
            <w:r w:rsidR="00D3071C">
              <w:rPr>
                <w:rFonts w:ascii="Arial" w:hAnsi="Arial" w:cs="Arial"/>
                <w:sz w:val="20"/>
                <w:szCs w:val="20"/>
              </w:rPr>
              <w:t>,171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127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270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</w:tr>
      <w:tr w:rsidR="001A6398" w:rsidTr="001A6398"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90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368" w:type="dxa"/>
          </w:tcPr>
          <w:p w:rsidR="001A6398" w:rsidRDefault="00D3071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(2,</w:t>
            </w:r>
            <w:r w:rsidR="001A6398" w:rsidRPr="001A6398">
              <w:rPr>
                <w:rFonts w:ascii="Arial" w:hAnsi="Arial" w:cs="Arial"/>
                <w:sz w:val="20"/>
                <w:szCs w:val="20"/>
              </w:rPr>
              <w:t>133)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368" w:type="dxa"/>
          </w:tcPr>
          <w:p w:rsidR="001A6398" w:rsidRDefault="00D3071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1A6398" w:rsidRPr="001A6398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6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</w:tr>
      <w:tr w:rsidR="001A6398" w:rsidTr="001A6398"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Depreciation of fixed assets</w:t>
            </w:r>
          </w:p>
        </w:tc>
        <w:tc>
          <w:tcPr>
            <w:tcW w:w="1368" w:type="dxa"/>
          </w:tcPr>
          <w:p w:rsidR="001A6398" w:rsidRDefault="001A6398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368" w:type="dxa"/>
          </w:tcPr>
          <w:p w:rsidR="001A6398" w:rsidRDefault="001A6398" w:rsidP="001A6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6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68" w:type="dxa"/>
          </w:tcPr>
          <w:p w:rsidR="001A6398" w:rsidRDefault="001A6398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6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68" w:type="dxa"/>
          </w:tcPr>
          <w:p w:rsidR="001A6398" w:rsidRDefault="001A6398" w:rsidP="00D3071C">
            <w:pPr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6</w:t>
            </w:r>
            <w:r w:rsidR="00D3071C"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368" w:type="dxa"/>
          </w:tcPr>
          <w:p w:rsidR="001A6398" w:rsidRDefault="00D3071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6398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</w:tr>
      <w:tr w:rsidR="00D3071C" w:rsidTr="001A6398">
        <w:tc>
          <w:tcPr>
            <w:tcW w:w="1368" w:type="dxa"/>
          </w:tcPr>
          <w:p w:rsidR="00D3071C" w:rsidRDefault="00D3071C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368" w:type="dxa"/>
          </w:tcPr>
          <w:p w:rsidR="00D3071C" w:rsidRDefault="00D3071C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dongs/ person/ month </w:t>
            </w:r>
          </w:p>
        </w:tc>
        <w:tc>
          <w:tcPr>
            <w:tcW w:w="1368" w:type="dxa"/>
          </w:tcPr>
          <w:p w:rsidR="00D3071C" w:rsidRDefault="00D3071C" w:rsidP="00326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3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8" w:type="dxa"/>
          </w:tcPr>
          <w:p w:rsidR="00D3071C" w:rsidRDefault="00D3071C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3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8" w:type="dxa"/>
          </w:tcPr>
          <w:p w:rsidR="00D3071C" w:rsidRDefault="00D3071C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3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8" w:type="dxa"/>
          </w:tcPr>
          <w:p w:rsidR="00D3071C" w:rsidRDefault="00D3071C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3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8" w:type="dxa"/>
          </w:tcPr>
          <w:p w:rsidR="00D3071C" w:rsidRDefault="00D3071C" w:rsidP="00A17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3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1A6398" w:rsidRDefault="001A6398" w:rsidP="00326490">
      <w:pPr>
        <w:jc w:val="both"/>
        <w:rPr>
          <w:rFonts w:ascii="Arial" w:hAnsi="Arial" w:cs="Arial"/>
          <w:sz w:val="20"/>
          <w:szCs w:val="20"/>
        </w:rPr>
      </w:pPr>
    </w:p>
    <w:p w:rsidR="00D3071C" w:rsidRDefault="00D3071C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Measures for implementation:</w:t>
      </w:r>
    </w:p>
    <w:p w:rsidR="00D3071C" w:rsidRDefault="00D3071C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1A6398" w:rsidRPr="001A6398">
        <w:rPr>
          <w:rFonts w:ascii="Arial" w:hAnsi="Arial" w:cs="Arial"/>
          <w:sz w:val="20"/>
          <w:szCs w:val="20"/>
        </w:rPr>
        <w:t xml:space="preserve">Regarding production and product quality: </w:t>
      </w:r>
    </w:p>
    <w:p w:rsidR="00D3071C" w:rsidRDefault="00D3071C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Plants which have plans on</w:t>
      </w:r>
      <w:r w:rsidR="001A6398" w:rsidRPr="001A6398">
        <w:rPr>
          <w:rFonts w:ascii="Arial" w:hAnsi="Arial" w:cs="Arial"/>
          <w:sz w:val="20"/>
          <w:szCs w:val="20"/>
        </w:rPr>
        <w:t xml:space="preserve"> maintenance of machinery and equipment </w:t>
      </w:r>
      <w:r>
        <w:rPr>
          <w:rFonts w:ascii="Arial" w:hAnsi="Arial" w:cs="Arial"/>
          <w:sz w:val="20"/>
          <w:szCs w:val="20"/>
        </w:rPr>
        <w:t>stop the</w:t>
      </w:r>
      <w:r w:rsidR="001A6398" w:rsidRPr="001A6398">
        <w:rPr>
          <w:rFonts w:ascii="Arial" w:hAnsi="Arial" w:cs="Arial"/>
          <w:sz w:val="20"/>
          <w:szCs w:val="20"/>
        </w:rPr>
        <w:t xml:space="preserve"> maintenance and repa</w:t>
      </w:r>
      <w:r>
        <w:rPr>
          <w:rFonts w:ascii="Arial" w:hAnsi="Arial" w:cs="Arial"/>
          <w:sz w:val="20"/>
          <w:szCs w:val="20"/>
        </w:rPr>
        <w:t>ir to ensure stable production, meet</w:t>
      </w:r>
      <w:r w:rsidR="001A6398" w:rsidRPr="001A6398">
        <w:rPr>
          <w:rFonts w:ascii="Arial" w:hAnsi="Arial" w:cs="Arial"/>
          <w:sz w:val="20"/>
          <w:szCs w:val="20"/>
        </w:rPr>
        <w:t xml:space="preserve"> targets and </w:t>
      </w:r>
      <w:r>
        <w:rPr>
          <w:rFonts w:ascii="Arial" w:hAnsi="Arial" w:cs="Arial"/>
          <w:sz w:val="20"/>
          <w:szCs w:val="20"/>
        </w:rPr>
        <w:t>strictly control raw materials and ensure</w:t>
      </w:r>
      <w:r w:rsidR="001A6398" w:rsidRPr="001A6398">
        <w:rPr>
          <w:rFonts w:ascii="Arial" w:hAnsi="Arial" w:cs="Arial"/>
          <w:sz w:val="20"/>
          <w:szCs w:val="20"/>
        </w:rPr>
        <w:t xml:space="preserve"> product q</w:t>
      </w:r>
      <w:r>
        <w:rPr>
          <w:rFonts w:ascii="Arial" w:hAnsi="Arial" w:cs="Arial"/>
          <w:sz w:val="20"/>
          <w:szCs w:val="20"/>
        </w:rPr>
        <w:t>uality according to standards, achieving</w:t>
      </w:r>
      <w:r w:rsidR="001A6398" w:rsidRPr="001A6398">
        <w:rPr>
          <w:rFonts w:ascii="Arial" w:hAnsi="Arial" w:cs="Arial"/>
          <w:sz w:val="20"/>
          <w:szCs w:val="20"/>
        </w:rPr>
        <w:t xml:space="preserve"> planned targe</w:t>
      </w:r>
      <w:r>
        <w:rPr>
          <w:rFonts w:ascii="Arial" w:hAnsi="Arial" w:cs="Arial"/>
          <w:sz w:val="20"/>
          <w:szCs w:val="20"/>
        </w:rPr>
        <w:t>ts</w:t>
      </w:r>
    </w:p>
    <w:p w:rsidR="00D3071C" w:rsidRDefault="001A6398" w:rsidP="00326490">
      <w:pPr>
        <w:jc w:val="both"/>
        <w:rPr>
          <w:rFonts w:ascii="Arial" w:hAnsi="Arial" w:cs="Arial"/>
          <w:sz w:val="20"/>
          <w:szCs w:val="20"/>
        </w:rPr>
      </w:pPr>
      <w:r w:rsidRPr="001A6398">
        <w:rPr>
          <w:rFonts w:ascii="Arial" w:hAnsi="Arial" w:cs="Arial"/>
          <w:sz w:val="20"/>
          <w:szCs w:val="20"/>
        </w:rPr>
        <w:t xml:space="preserve">* Stockpiling of raw materials: </w:t>
      </w:r>
    </w:p>
    <w:p w:rsidR="00D3071C" w:rsidRDefault="001A6398" w:rsidP="00326490">
      <w:pPr>
        <w:jc w:val="both"/>
        <w:rPr>
          <w:rFonts w:ascii="Arial" w:hAnsi="Arial" w:cs="Arial"/>
          <w:sz w:val="20"/>
          <w:szCs w:val="20"/>
        </w:rPr>
      </w:pPr>
      <w:r w:rsidRPr="001A6398">
        <w:rPr>
          <w:rFonts w:ascii="Arial" w:hAnsi="Arial" w:cs="Arial"/>
          <w:sz w:val="20"/>
          <w:szCs w:val="20"/>
        </w:rPr>
        <w:t>- Maintaining the stockpiling of raw material</w:t>
      </w:r>
      <w:bookmarkStart w:id="0" w:name="_GoBack"/>
      <w:bookmarkEnd w:id="0"/>
      <w:r w:rsidRPr="001A6398">
        <w:rPr>
          <w:rFonts w:ascii="Arial" w:hAnsi="Arial" w:cs="Arial"/>
          <w:sz w:val="20"/>
          <w:szCs w:val="20"/>
        </w:rPr>
        <w:t>s at the supplier's warehouse in the form of sending them to the warehouse</w:t>
      </w:r>
      <w:r w:rsidR="00D3071C">
        <w:rPr>
          <w:rFonts w:ascii="Arial" w:hAnsi="Arial" w:cs="Arial"/>
          <w:sz w:val="20"/>
          <w:szCs w:val="20"/>
        </w:rPr>
        <w:t>s, regularly sendin</w:t>
      </w:r>
      <w:r w:rsidR="004167BC">
        <w:rPr>
          <w:rFonts w:ascii="Arial" w:hAnsi="Arial" w:cs="Arial"/>
          <w:sz w:val="20"/>
          <w:szCs w:val="20"/>
        </w:rPr>
        <w:t>g</w:t>
      </w:r>
      <w:r w:rsidRPr="001A6398">
        <w:rPr>
          <w:rFonts w:ascii="Arial" w:hAnsi="Arial" w:cs="Arial"/>
          <w:sz w:val="20"/>
          <w:szCs w:val="20"/>
        </w:rPr>
        <w:t xml:space="preserve"> staff to inspect and supervise to ensure adequate quality and quality according to</w:t>
      </w:r>
      <w:r w:rsidR="00D3071C">
        <w:rPr>
          <w:rFonts w:ascii="Arial" w:hAnsi="Arial" w:cs="Arial"/>
          <w:sz w:val="20"/>
          <w:szCs w:val="20"/>
        </w:rPr>
        <w:t xml:space="preserve"> technical requirements</w:t>
      </w:r>
    </w:p>
    <w:p w:rsidR="001A6398" w:rsidRDefault="001A6398" w:rsidP="00326490">
      <w:pPr>
        <w:jc w:val="both"/>
        <w:rPr>
          <w:rFonts w:ascii="Arial" w:hAnsi="Arial" w:cs="Arial"/>
          <w:sz w:val="20"/>
          <w:szCs w:val="20"/>
        </w:rPr>
      </w:pPr>
      <w:r w:rsidRPr="001A6398">
        <w:rPr>
          <w:rFonts w:ascii="Arial" w:hAnsi="Arial" w:cs="Arial"/>
          <w:sz w:val="20"/>
          <w:szCs w:val="20"/>
        </w:rPr>
        <w:t>- Looki</w:t>
      </w:r>
      <w:r w:rsidR="00D3071C">
        <w:rPr>
          <w:rFonts w:ascii="Arial" w:hAnsi="Arial" w:cs="Arial"/>
          <w:sz w:val="20"/>
          <w:szCs w:val="20"/>
        </w:rPr>
        <w:t>ng for sources of kaolin and</w:t>
      </w:r>
      <w:r w:rsidRPr="001A6398">
        <w:rPr>
          <w:rFonts w:ascii="Arial" w:hAnsi="Arial" w:cs="Arial"/>
          <w:sz w:val="20"/>
          <w:szCs w:val="20"/>
        </w:rPr>
        <w:t xml:space="preserve"> clay to reserve from 6 m</w:t>
      </w:r>
      <w:r w:rsidR="00D3071C">
        <w:rPr>
          <w:rFonts w:ascii="Arial" w:hAnsi="Arial" w:cs="Arial"/>
          <w:sz w:val="20"/>
          <w:szCs w:val="20"/>
        </w:rPr>
        <w:t xml:space="preserve">onths to 1 year of production. </w:t>
      </w:r>
      <w:r w:rsidRPr="001A6398">
        <w:rPr>
          <w:rFonts w:ascii="Arial" w:hAnsi="Arial" w:cs="Arial"/>
          <w:sz w:val="20"/>
          <w:szCs w:val="20"/>
        </w:rPr>
        <w:t>Make the most of the rented warehouse space to reserve</w:t>
      </w:r>
      <w:r w:rsidR="00D3071C">
        <w:rPr>
          <w:rFonts w:ascii="Arial" w:hAnsi="Arial" w:cs="Arial"/>
          <w:sz w:val="20"/>
          <w:szCs w:val="20"/>
        </w:rPr>
        <w:t xml:space="preserve"> materials</w:t>
      </w:r>
      <w:r w:rsidR="00D4196A">
        <w:rPr>
          <w:rFonts w:ascii="Arial" w:hAnsi="Arial" w:cs="Arial"/>
          <w:sz w:val="20"/>
          <w:szCs w:val="20"/>
        </w:rPr>
        <w:t xml:space="preserve"> </w:t>
      </w:r>
    </w:p>
    <w:p w:rsidR="00D4196A" w:rsidRDefault="00D4196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Regarding product quality: Ensure internal standards TCCS GRA 03:2013 issued by </w:t>
      </w:r>
      <w:proofErr w:type="spellStart"/>
      <w:r>
        <w:rPr>
          <w:rFonts w:ascii="Arial" w:hAnsi="Arial" w:cs="Arial"/>
          <w:sz w:val="20"/>
          <w:szCs w:val="20"/>
        </w:rPr>
        <w:t>Viglacera</w:t>
      </w:r>
      <w:proofErr w:type="spellEnd"/>
      <w:r>
        <w:rPr>
          <w:rFonts w:ascii="Arial" w:hAnsi="Arial" w:cs="Arial"/>
          <w:sz w:val="20"/>
          <w:szCs w:val="20"/>
        </w:rPr>
        <w:t xml:space="preserve"> Corporation</w:t>
      </w:r>
    </w:p>
    <w:p w:rsidR="00D4196A" w:rsidRDefault="00D4196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Recovery rate of 03 factories: strive to reach 96%</w:t>
      </w:r>
    </w:p>
    <w:p w:rsidR="00D4196A" w:rsidRDefault="00D4196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Pr="00D4196A">
        <w:rPr>
          <w:rFonts w:ascii="Arial" w:hAnsi="Arial" w:cs="Arial"/>
          <w:sz w:val="20"/>
          <w:szCs w:val="20"/>
        </w:rPr>
        <w:t xml:space="preserve">Controlling and reducing costs: </w:t>
      </w:r>
    </w:p>
    <w:p w:rsidR="00D4196A" w:rsidRDefault="00D4196A" w:rsidP="00326490">
      <w:pPr>
        <w:jc w:val="both"/>
        <w:rPr>
          <w:rFonts w:ascii="Arial" w:hAnsi="Arial" w:cs="Arial"/>
          <w:sz w:val="20"/>
          <w:szCs w:val="20"/>
        </w:rPr>
      </w:pPr>
      <w:r w:rsidRPr="00D4196A">
        <w:rPr>
          <w:rFonts w:ascii="Arial" w:hAnsi="Arial" w:cs="Arial"/>
          <w:sz w:val="20"/>
          <w:szCs w:val="20"/>
        </w:rPr>
        <w:t xml:space="preserve">- Continuing to </w:t>
      </w:r>
      <w:r>
        <w:rPr>
          <w:rFonts w:ascii="Arial" w:hAnsi="Arial" w:cs="Arial"/>
          <w:sz w:val="20"/>
          <w:szCs w:val="20"/>
        </w:rPr>
        <w:t>negotiate with suppliers to reduce</w:t>
      </w:r>
      <w:r w:rsidRPr="00D4196A">
        <w:rPr>
          <w:rFonts w:ascii="Arial" w:hAnsi="Arial" w:cs="Arial"/>
          <w:sz w:val="20"/>
          <w:szCs w:val="20"/>
        </w:rPr>
        <w:t xml:space="preserve"> prices of raw materials and supplies, and </w:t>
      </w:r>
      <w:r>
        <w:rPr>
          <w:rFonts w:ascii="Arial" w:hAnsi="Arial" w:cs="Arial"/>
          <w:sz w:val="20"/>
          <w:szCs w:val="20"/>
        </w:rPr>
        <w:t>looking for</w:t>
      </w:r>
      <w:r w:rsidRPr="00D4196A">
        <w:rPr>
          <w:rFonts w:ascii="Arial" w:hAnsi="Arial" w:cs="Arial"/>
          <w:sz w:val="20"/>
          <w:szCs w:val="20"/>
        </w:rPr>
        <w:t xml:space="preserve"> other raw materials </w:t>
      </w:r>
      <w:r>
        <w:rPr>
          <w:rFonts w:ascii="Arial" w:hAnsi="Arial" w:cs="Arial"/>
          <w:sz w:val="20"/>
          <w:szCs w:val="20"/>
        </w:rPr>
        <w:t>to replace</w:t>
      </w:r>
      <w:r w:rsidRPr="00D4196A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appropriate quality, low prices</w:t>
      </w:r>
    </w:p>
    <w:p w:rsidR="00D4196A" w:rsidRDefault="00D4196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D4196A">
        <w:rPr>
          <w:rFonts w:ascii="Arial" w:hAnsi="Arial" w:cs="Arial"/>
          <w:sz w:val="20"/>
          <w:szCs w:val="20"/>
        </w:rPr>
        <w:t xml:space="preserve">trengthen control of the quality of supplies and raw materials </w:t>
      </w:r>
      <w:r>
        <w:rPr>
          <w:rFonts w:ascii="Arial" w:hAnsi="Arial" w:cs="Arial"/>
          <w:sz w:val="20"/>
          <w:szCs w:val="20"/>
        </w:rPr>
        <w:t>to reduce the loss in stages of production</w:t>
      </w:r>
    </w:p>
    <w:p w:rsidR="00D4196A" w:rsidRDefault="00D4196A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4167BC">
        <w:rPr>
          <w:rFonts w:ascii="Arial" w:hAnsi="Arial" w:cs="Arial"/>
          <w:sz w:val="20"/>
          <w:szCs w:val="20"/>
        </w:rPr>
        <w:t>Fixed production cost to departments; review weekly, monthly, quarterly to ensure the production indicators, quality, and recovery</w:t>
      </w:r>
    </w:p>
    <w:p w:rsidR="004167BC" w:rsidRDefault="004167BC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Business operation</w:t>
      </w:r>
    </w:p>
    <w:p w:rsidR="004167BC" w:rsidRDefault="004167BC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071C" w:rsidRPr="00D3071C">
        <w:rPr>
          <w:rFonts w:ascii="Arial" w:hAnsi="Arial" w:cs="Arial"/>
          <w:sz w:val="20"/>
          <w:szCs w:val="20"/>
        </w:rPr>
        <w:t xml:space="preserve">Coordinate with </w:t>
      </w:r>
      <w:proofErr w:type="spellStart"/>
      <w:r w:rsidR="00D3071C" w:rsidRPr="00D3071C">
        <w:rPr>
          <w:rFonts w:ascii="Arial" w:hAnsi="Arial" w:cs="Arial"/>
          <w:sz w:val="20"/>
          <w:szCs w:val="20"/>
        </w:rPr>
        <w:t>Viglacera</w:t>
      </w:r>
      <w:proofErr w:type="spellEnd"/>
      <w:r w:rsidR="00D3071C" w:rsidRPr="00D3071C">
        <w:rPr>
          <w:rFonts w:ascii="Arial" w:hAnsi="Arial" w:cs="Arial"/>
          <w:sz w:val="20"/>
          <w:szCs w:val="20"/>
        </w:rPr>
        <w:t xml:space="preserve"> Ceramic Tiles Trading Joint Stock Company to make a production plan, business pl</w:t>
      </w:r>
      <w:r>
        <w:rPr>
          <w:rFonts w:ascii="Arial" w:hAnsi="Arial" w:cs="Arial"/>
          <w:sz w:val="20"/>
          <w:szCs w:val="20"/>
        </w:rPr>
        <w:t>an, and monthly financial plan</w:t>
      </w:r>
    </w:p>
    <w:p w:rsidR="004167BC" w:rsidRDefault="004167BC" w:rsidP="003264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Actively sell</w:t>
      </w:r>
      <w:r w:rsidR="00D3071C" w:rsidRPr="00D3071C">
        <w:rPr>
          <w:rFonts w:ascii="Arial" w:hAnsi="Arial" w:cs="Arial"/>
          <w:sz w:val="20"/>
          <w:szCs w:val="20"/>
        </w:rPr>
        <w:t xml:space="preserve"> inventory during the period of</w:t>
      </w:r>
      <w:r>
        <w:rPr>
          <w:rFonts w:ascii="Arial" w:hAnsi="Arial" w:cs="Arial"/>
          <w:sz w:val="20"/>
          <w:szCs w:val="20"/>
        </w:rPr>
        <w:t xml:space="preserve"> stopping production and regular</w:t>
      </w:r>
      <w:r w:rsidR="00D3071C" w:rsidRPr="00D3071C">
        <w:rPr>
          <w:rFonts w:ascii="Arial" w:hAnsi="Arial" w:cs="Arial"/>
          <w:sz w:val="20"/>
          <w:szCs w:val="20"/>
        </w:rPr>
        <w:t xml:space="preserve"> maintenance; 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- Continue to boost exports to traditional markets such as Taiwan, Japan, Korea, the Philippines, and continue to develop new markets such as Brazil, Australia, the United Kin</w:t>
      </w:r>
      <w:r w:rsidR="004167BC">
        <w:rPr>
          <w:rFonts w:ascii="Arial" w:hAnsi="Arial" w:cs="Arial"/>
          <w:sz w:val="20"/>
          <w:szCs w:val="20"/>
        </w:rPr>
        <w:t>gdom, and the United States..</w:t>
      </w:r>
      <w:r w:rsidRPr="00D3071C">
        <w:rPr>
          <w:rFonts w:ascii="Arial" w:hAnsi="Arial" w:cs="Arial"/>
          <w:sz w:val="20"/>
          <w:szCs w:val="20"/>
        </w:rPr>
        <w:t xml:space="preserve">.  - Coordinate with </w:t>
      </w:r>
      <w:proofErr w:type="spellStart"/>
      <w:r w:rsidRPr="00D3071C">
        <w:rPr>
          <w:rFonts w:ascii="Arial" w:hAnsi="Arial" w:cs="Arial"/>
          <w:sz w:val="20"/>
          <w:szCs w:val="20"/>
        </w:rPr>
        <w:t>Viglacera</w:t>
      </w:r>
      <w:proofErr w:type="spellEnd"/>
      <w:r w:rsidRPr="00D3071C">
        <w:rPr>
          <w:rFonts w:ascii="Arial" w:hAnsi="Arial" w:cs="Arial"/>
          <w:sz w:val="20"/>
          <w:szCs w:val="20"/>
        </w:rPr>
        <w:t xml:space="preserve"> Ceramic Tiles Trading Joint Stock Company to complete and open more product showrooms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2</w:t>
      </w:r>
      <w:r w:rsidR="004167BC">
        <w:rPr>
          <w:rFonts w:ascii="Arial" w:hAnsi="Arial" w:cs="Arial"/>
          <w:sz w:val="20"/>
          <w:szCs w:val="20"/>
        </w:rPr>
        <w:t>.4</w:t>
      </w:r>
      <w:r w:rsidRPr="00D3071C">
        <w:rPr>
          <w:rFonts w:ascii="Arial" w:hAnsi="Arial" w:cs="Arial"/>
          <w:sz w:val="20"/>
          <w:szCs w:val="20"/>
        </w:rPr>
        <w:t xml:space="preserve"> Financial work: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- Looking for capital with low interest rates to reduce f</w:t>
      </w:r>
      <w:r w:rsidR="004167BC">
        <w:rPr>
          <w:rFonts w:ascii="Arial" w:hAnsi="Arial" w:cs="Arial"/>
          <w:sz w:val="20"/>
          <w:szCs w:val="20"/>
        </w:rPr>
        <w:t>inancial costs for the company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- Ensuring capital sources for prod</w:t>
      </w:r>
      <w:r w:rsidR="004167BC">
        <w:rPr>
          <w:rFonts w:ascii="Arial" w:hAnsi="Arial" w:cs="Arial"/>
          <w:sz w:val="20"/>
          <w:szCs w:val="20"/>
        </w:rPr>
        <w:t>uction and business activities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 xml:space="preserve">- Sticking to the profit target 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2</w:t>
      </w:r>
      <w:r w:rsidR="004167BC">
        <w:rPr>
          <w:rFonts w:ascii="Arial" w:hAnsi="Arial" w:cs="Arial"/>
          <w:sz w:val="20"/>
          <w:szCs w:val="20"/>
        </w:rPr>
        <w:t xml:space="preserve">.5 </w:t>
      </w:r>
      <w:r w:rsidRPr="00D3071C">
        <w:rPr>
          <w:rFonts w:ascii="Arial" w:hAnsi="Arial" w:cs="Arial"/>
          <w:sz w:val="20"/>
          <w:szCs w:val="20"/>
        </w:rPr>
        <w:t xml:space="preserve">Investment, repair: 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- The factories prepare w</w:t>
      </w:r>
      <w:r w:rsidR="004167BC">
        <w:rPr>
          <w:rFonts w:ascii="Arial" w:hAnsi="Arial" w:cs="Arial"/>
          <w:sz w:val="20"/>
          <w:szCs w:val="20"/>
        </w:rPr>
        <w:t>ell the repair and maintenance for each stage on</w:t>
      </w:r>
      <w:r w:rsidRPr="00D3071C">
        <w:rPr>
          <w:rFonts w:ascii="Arial" w:hAnsi="Arial" w:cs="Arial"/>
          <w:sz w:val="20"/>
          <w:szCs w:val="20"/>
        </w:rPr>
        <w:t xml:space="preserve"> the holiday and the Lunar New Year 2020</w:t>
      </w:r>
    </w:p>
    <w:p w:rsidR="004167B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>2</w:t>
      </w:r>
      <w:r w:rsidR="004167BC">
        <w:rPr>
          <w:rFonts w:ascii="Arial" w:hAnsi="Arial" w:cs="Arial"/>
          <w:sz w:val="20"/>
          <w:szCs w:val="20"/>
        </w:rPr>
        <w:t>.6</w:t>
      </w:r>
      <w:r w:rsidRPr="00D3071C">
        <w:rPr>
          <w:rFonts w:ascii="Arial" w:hAnsi="Arial" w:cs="Arial"/>
          <w:sz w:val="20"/>
          <w:szCs w:val="20"/>
        </w:rPr>
        <w:t xml:space="preserve"> Other tasks: </w:t>
      </w:r>
    </w:p>
    <w:p w:rsidR="00D3071C" w:rsidRDefault="00D3071C" w:rsidP="00326490">
      <w:pPr>
        <w:jc w:val="both"/>
        <w:rPr>
          <w:rFonts w:ascii="Arial" w:hAnsi="Arial" w:cs="Arial"/>
          <w:sz w:val="20"/>
          <w:szCs w:val="20"/>
        </w:rPr>
      </w:pPr>
      <w:r w:rsidRPr="00D3071C">
        <w:rPr>
          <w:rFonts w:ascii="Arial" w:hAnsi="Arial" w:cs="Arial"/>
          <w:sz w:val="20"/>
          <w:szCs w:val="20"/>
        </w:rPr>
        <w:t xml:space="preserve">- Authorize the Company's Director to continue reviewing and liquidating assets at the two factories in order to clear the ground for project </w:t>
      </w:r>
      <w:r w:rsidR="004167BC">
        <w:rPr>
          <w:rFonts w:ascii="Arial" w:hAnsi="Arial" w:cs="Arial"/>
          <w:sz w:val="20"/>
          <w:szCs w:val="20"/>
        </w:rPr>
        <w:t xml:space="preserve">and capital recovery </w:t>
      </w:r>
      <w:r w:rsidRPr="00D3071C">
        <w:rPr>
          <w:rFonts w:ascii="Arial" w:hAnsi="Arial" w:cs="Arial"/>
          <w:sz w:val="20"/>
          <w:szCs w:val="20"/>
        </w:rPr>
        <w:t>on the basis of compliance with the Reg</w:t>
      </w:r>
      <w:r w:rsidR="004167BC">
        <w:rPr>
          <w:rFonts w:ascii="Arial" w:hAnsi="Arial" w:cs="Arial"/>
          <w:sz w:val="20"/>
          <w:szCs w:val="20"/>
        </w:rPr>
        <w:t>ulation on financial management and</w:t>
      </w:r>
      <w:r w:rsidRPr="00D3071C">
        <w:rPr>
          <w:rFonts w:ascii="Arial" w:hAnsi="Arial" w:cs="Arial"/>
          <w:sz w:val="20"/>
          <w:szCs w:val="20"/>
        </w:rPr>
        <w:t xml:space="preserve"> the Company's charter, </w:t>
      </w:r>
      <w:r w:rsidR="004167BC">
        <w:rPr>
          <w:rFonts w:ascii="Arial" w:hAnsi="Arial" w:cs="Arial"/>
          <w:sz w:val="20"/>
          <w:szCs w:val="20"/>
        </w:rPr>
        <w:t>ensuring the company’s planned</w:t>
      </w:r>
      <w:r w:rsidRPr="00D3071C">
        <w:rPr>
          <w:rFonts w:ascii="Arial" w:hAnsi="Arial" w:cs="Arial"/>
          <w:sz w:val="20"/>
          <w:szCs w:val="20"/>
        </w:rPr>
        <w:t xml:space="preserve"> business results </w:t>
      </w:r>
    </w:p>
    <w:sectPr w:rsidR="00D3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800"/>
    <w:rsid w:val="001A6398"/>
    <w:rsid w:val="00222BEE"/>
    <w:rsid w:val="00326490"/>
    <w:rsid w:val="00377A7A"/>
    <w:rsid w:val="003906F8"/>
    <w:rsid w:val="004167BC"/>
    <w:rsid w:val="00467BC0"/>
    <w:rsid w:val="00496733"/>
    <w:rsid w:val="005A49F3"/>
    <w:rsid w:val="005B40E5"/>
    <w:rsid w:val="00701850"/>
    <w:rsid w:val="00745D9A"/>
    <w:rsid w:val="007A1FCC"/>
    <w:rsid w:val="007A6F34"/>
    <w:rsid w:val="00AF67BE"/>
    <w:rsid w:val="00B70D7E"/>
    <w:rsid w:val="00BA3FB7"/>
    <w:rsid w:val="00D3071C"/>
    <w:rsid w:val="00D32D2C"/>
    <w:rsid w:val="00D4196A"/>
    <w:rsid w:val="00F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7A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7A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19</cp:revision>
  <dcterms:created xsi:type="dcterms:W3CDTF">2019-10-16T10:03:00Z</dcterms:created>
  <dcterms:modified xsi:type="dcterms:W3CDTF">2020-03-13T14:19:00Z</dcterms:modified>
</cp:coreProperties>
</file>